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edformtovantext"/>
        <w:bidi w:val="0"/>
        <w:jc w:val="center"/>
        <w:rPr>
          <w:rFonts w:ascii="Calibri" w:hAnsi="Calibri"/>
          <w:b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NÁVOD</w:t>
      </w:r>
    </w:p>
    <w:p>
      <w:pPr>
        <w:pStyle w:val="Pedformtovantext"/>
        <w:bidi w:val="0"/>
        <w:jc w:val="center"/>
        <w:rPr>
          <w:rFonts w:ascii="Calibri" w:hAnsi="Calibri"/>
          <w:b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FOLIOVNÍK 10m2</w:t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05498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0"/>
          <w:szCs w:val="30"/>
        </w:rPr>
        <w:t>Spoupiska dílů</w:t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443230</wp:posOffset>
                </wp:positionH>
                <wp:positionV relativeFrom="paragraph">
                  <wp:posOffset>1925955</wp:posOffset>
                </wp:positionV>
                <wp:extent cx="5570855" cy="174625"/>
                <wp:effectExtent l="0" t="0" r="0" b="0"/>
                <wp:wrapNone/>
                <wp:docPr id="2" name="Tvar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8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eastAsia="Segoe UI" w:cs="Tahoma"/>
                                <w:kern w:val="0"/>
                                <w:lang w:val="en-US" w:eastAsia="en-US" w:bidi="en-US"/>
                              </w:rPr>
                              <w:t xml:space="preserve">  </w:t>
                            </w:r>
                            <w:r>
                              <w:rPr>
                                <w:rFonts w:eastAsia="Segoe UI" w:cs="Tahoma"/>
                                <w:kern w:val="0"/>
                                <w:lang w:val="en-US" w:eastAsia="en-US" w:bidi="en-US"/>
                              </w:rPr>
                              <w:t>8 ks,   4 ks    4 ks,   5 ks,   10 ks,  2 ks,  2 ks,  2 ks,  20 ks,  2 ks,  22 ks,  1ks,   1 ks,   1 ks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var1_0" stroked="f" style="position:absolute;margin-left:34.9pt;margin-top:151.65pt;width:438.55pt;height:13.6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overflowPunct w:val="true"/>
                        <w:bidi w:val="0"/>
                        <w:rPr/>
                      </w:pPr>
                      <w:r>
                        <w:rPr>
                          <w:rFonts w:eastAsia="Segoe UI" w:cs="Tahoma"/>
                          <w:kern w:val="0"/>
                          <w:lang w:val="en-US" w:eastAsia="en-US" w:bidi="en-US"/>
                        </w:rPr>
                        <w:t xml:space="preserve">  </w:t>
                      </w:r>
                      <w:r>
                        <w:rPr>
                          <w:rFonts w:eastAsia="Segoe UI" w:cs="Tahoma"/>
                          <w:kern w:val="0"/>
                          <w:lang w:val="en-US" w:eastAsia="en-US" w:bidi="en-US"/>
                        </w:rPr>
                        <w:t>8 ks,   4 ks    4 ks,   5 ks,   10 ks,  2 ks,  2 ks,  2 ks,  20 ks,  2 ks,  22 ks,  1ks,   1 ks,   1 ks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6120130" cy="1778000"/>
            <wp:effectExtent l="0" t="0" r="0" b="0"/>
            <wp:wrapSquare wrapText="largest"/>
            <wp:docPr id="4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center"/>
        <w:rPr>
          <w:rFonts w:ascii="Calibri" w:hAnsi="Calibri"/>
          <w:b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MONTÁŽ</w:t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85090</wp:posOffset>
            </wp:positionV>
            <wp:extent cx="6120130" cy="4512310"/>
            <wp:effectExtent l="0" t="0" r="0" b="0"/>
            <wp:wrapSquare wrapText="largest"/>
            <wp:docPr id="5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Před dotažením šroubů na maximum se ujistěte, že je celý rám dobře složený.</w:t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66675</wp:posOffset>
            </wp:positionH>
            <wp:positionV relativeFrom="paragraph">
              <wp:posOffset>73660</wp:posOffset>
            </wp:positionV>
            <wp:extent cx="6120130" cy="6445250"/>
            <wp:effectExtent l="0" t="0" r="0" b="0"/>
            <wp:wrapSquare wrapText="largest"/>
            <wp:docPr id="6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6120130" cy="7125970"/>
            <wp:effectExtent l="0" t="0" r="0" b="0"/>
            <wp:wrapSquare wrapText="largest"/>
            <wp:docPr id="7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2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5459095"/>
            <wp:effectExtent l="0" t="0" r="0" b="0"/>
            <wp:wrapSquare wrapText="largest"/>
            <wp:docPr id="8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5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Po letní sezóně je nutné fólii vysušit a uskladnit v suché místnosti, přičemž výrobce doporučuje i samotnou konstrukci vysušit a uskladnit na podzimní a zimní období.</w:t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V místech kontaktu folie s koncemi bočních tyčí se doporučuje použití pásky pro zajištění folie před případným protržením.</w:t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Pedformtovantext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ZÁRUČNÍ KARTA</w:t>
        <w:br/>
        <w:t>Jméno výrobku:</w:t>
        <w:br/>
        <w:t>Model/Typ:</w:t>
        <w:br/>
        <w:t>Datum prodeje (dle dokladu o koupi):</w:t>
        <w:br/>
        <w:t>ZÁRUČNÍ PODMÍNKY</w:t>
        <w:br/>
        <w:t>1. Garantem je:</w:t>
        <w:br/>
        <w:t>Společnost SisCom s.c. Svatý. Bysewska 43D 80-298 Gdańsk Tel: + 48 58 677 11 22 E-mail: sklep@fajneceny.pl serwis@fajneceny.pl</w:t>
        <w:br/>
        <w:t>2. Garant poskytuje na zakoupený výrobek záruku 12 měsíců.</w:t>
        <w:br/>
        <w:t>3. Záruční doba začíná běžet dnem převzetí zakoupeného výrobku Kupujícím spolu s dokladem o koupi a záručním listem.</w:t>
        <w:br/>
        <w:t>4. Garant zajišťuje dobrou kvalitu a řádné fungování produktu.</w:t>
        <w:br/>
        <w:t>5. Záruka se vztahuje zejména na odhalené výrobní a materiálové vady, které se Ručitel zavazuje bezplatně odstranit. Není-li možné vadu odstranit, vymění Garant prvek pokud možno za shodný s komponentem, který je předmětem reklamace.</w:t>
        <w:br/>
        <w:t>6. Záruka se nevztahuje na poškození, která nejsou důsledkem výrobních nebo materiálových vad, zejména: součásti podléhající přirozenému opotřebení během provozu, účinky nahodilých událostí, použití v rozporu s návodem k použití, způsobené nesprávným skladováním a nedbalost při údržbě produktu.</w:t>
        <w:br/>
        <w:t>7. Záruka se rovněž nevztahuje na následky nesprávné montáže přídavných prvků neprovedené prodávajícím, na vady vzniklé nesprávným používáním, zejména použití v rozporu s určením, na následky havárie, na poškození v důsledku konstrukčních změn, úprav a úpravy, škody vzniklé v důsledku nedbalosti kupujícího, a to zejména v důsledku nedodržení doporučení obsažených v návodu k obsluze a doporučení ručitele, poškození způsobené přepravou, účinky přirozeného opotřebení, smluvní pokuty nebo škody související na opravu a náklady na používání náhradních produktů, ztráty ztracené v důsledku odhalených závad.</w:t>
        <w:br/>
        <w:t>8. Kupující je povinen oznámit vadu do 14 dnů od jejího vzniku. Nebude-li závada oznámena v uvedené lhůtě, ztrácí Kupující právo na další záruční nároky. Použití vadného produktu může vést k dalším škodám a s sebou nese riziko nehody a zranění nebo ztráty života. Garant neodpovídá za škody vzniklé v důsledku použití vadného výrobku Kupujícím.</w:t>
        <w:br/>
        <w:t>9. Kupující uplatňuje reklamaci přímo u Garanta. Kupující hradí náklady na dopravu inzerovaných produktů na místo určené Garantem. V případě oprávněné reklamace hradí náklady na doručení kupujícímu Garant. Podmínkou pro posouzení reklamace je předložení originálního a čitelného dokladu o koupi a záručního listu kupujícím. Garant osobně nebo prostřednictvím svého zástupce výrobek prohlédne a rozhodne o reklamaci. Je-li reklamace oprávněná, Garant odstraní vadu do 30 dnů ode dne kontroly nebo dodá výrobek bez vad, přičemž:</w:t>
        <w:br/>
        <w:t>- výběr záručního servisu (odstranění vady nebo výměna) náleží garantovi,</w:t>
        <w:br/>
        <w:t>- v každém případě bude výměna provedena v případě dvou předchozích oprav,</w:t>
        <w:br/>
        <w:t>− při provádění opravy si garant vyhrazuje právo nahradit materiály použité při výrobě výrobku jinými srovnatelné kvality a použitelnosti,</w:t>
        <w:br/>
        <w:t>− v případě zavádění strukturálních změn je povoleno provádět opravy v souladu s novou technologií.</w:t>
        <w:br/>
        <w:t>10. Pokud bude podaná reklamace považována za neoprávněnou, Garant se písemně vyjádří do 30 dnů ode dne obdržení reklamace a poskytne jej kupujícímu spolu s odůvodněním. Výše uvedené lhůty mohou být prodlouženy, pokud je nutné dovézt díly z území mimo území Polské republiky. Veškeré spory týkající se obsahu záručního listu podléhají polskému právu a budou řešeny běžným soudem příslušným pro sídlo ručitele.</w:t>
        <w:br/>
        <w:t>11. Záruční odpovědnost zaniká v okamžiku: provedení konstrukčních změn, lakování dílů, ztráty záručního listu nebo prodejního dokladu, převodu vlastnictví výrobku na jinou osobu.</w:t>
        <w:br/>
        <w:t>12. Garant informuje, že v případě prodeje výrobku spotřebiteli, v souladu s ustanoveními zákona ze dne 30. května 2014 o právech spotřebitele, tato záruka nevylučuje, neomezuje ani nepozastavuje práva kupujícího vyplývající z nedodržení produkt se smlouvou.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Obsahrmce">
    <w:name w:val="Obsah rám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LibreOffice/6.4.4.2$Windows_X86_64 LibreOffice_project/3d775be2011f3886db32dfd395a6a6d1ca2630ff</Application>
  <Pages>6</Pages>
  <Words>620</Words>
  <Characters>3595</Characters>
  <CharactersWithSpaces>4228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2023-03-20T09:57:17Z</dcterms:created>
  <dc:creator/>
  <dc:description/>
  <dc:language>cs-CZ</dc:language>
  <cp:lastModifiedBy/>
  <dcterms:modified xsi:type="dcterms:W3CDTF">2023-06-06T15:49:40Z</dcterms:modified>
  <cp:revision>3</cp:revision>
  <dc:subject/>
  <dc:title/>
</cp:coreProperties>
</file>